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8" w:line="240" w:lineRule="auto"/>
        <w:jc w:val="left"/>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02">
      <w:pPr>
        <w:widowControl w:val="0"/>
        <w:spacing w:before="8" w:line="240" w:lineRule="auto"/>
        <w:jc w:val="center"/>
        <w:rPr>
          <w:rFonts w:ascii="Helvetica Neue" w:cs="Helvetica Neue" w:eastAsia="Helvetica Neue" w:hAnsi="Helvetica Neue"/>
          <w:b w:val="1"/>
          <w:sz w:val="32"/>
          <w:szCs w:val="32"/>
          <w:u w:val="single"/>
        </w:rPr>
      </w:pPr>
      <w:r w:rsidDel="00000000" w:rsidR="00000000" w:rsidRPr="00000000">
        <w:rPr>
          <w:rFonts w:ascii="Helvetica Neue" w:cs="Helvetica Neue" w:eastAsia="Helvetica Neue" w:hAnsi="Helvetica Neue"/>
          <w:b w:val="1"/>
          <w:sz w:val="32"/>
          <w:szCs w:val="32"/>
          <w:u w:val="single"/>
          <w:rtl w:val="0"/>
        </w:rPr>
        <w:t xml:space="preserve">Before you apply checklist 2025</w:t>
      </w:r>
    </w:p>
    <w:p w:rsidR="00000000" w:rsidDel="00000000" w:rsidP="00000000" w:rsidRDefault="00000000" w:rsidRPr="00000000" w14:paraId="00000003">
      <w:pPr>
        <w:widowControl w:val="0"/>
        <w:spacing w:before="8"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widowControl w:val="0"/>
        <w:spacing w:before="8"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ensure that:</w:t>
      </w:r>
    </w:p>
    <w:p w:rsidR="00000000" w:rsidDel="00000000" w:rsidP="00000000" w:rsidRDefault="00000000" w:rsidRPr="00000000" w14:paraId="00000005">
      <w:pPr>
        <w:widowControl w:val="0"/>
        <w:spacing w:after="200"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widowControl w:val="0"/>
        <w:numPr>
          <w:ilvl w:val="0"/>
          <w:numId w:val="1"/>
        </w:numPr>
        <w:spacing w:after="200"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All team members are over 18 years of age and not in full time education. </w:t>
      </w:r>
      <w:r w:rsidDel="00000000" w:rsidR="00000000" w:rsidRPr="00000000">
        <w:rPr>
          <w:rFonts w:ascii="Helvetica Neue" w:cs="Helvetica Neue" w:eastAsia="Helvetica Neue" w:hAnsi="Helvetica Neue"/>
          <w:sz w:val="20"/>
          <w:szCs w:val="20"/>
          <w:rtl w:val="0"/>
        </w:rPr>
        <w:t xml:space="preserve">If you or any member of your team are in full time education at the time of application, you must graduate before August 2025 in order to be eligible for funding. </w:t>
      </w:r>
    </w:p>
    <w:p w:rsidR="00000000" w:rsidDel="00000000" w:rsidP="00000000" w:rsidRDefault="00000000" w:rsidRPr="00000000" w14:paraId="00000007">
      <w:pPr>
        <w:widowControl w:val="0"/>
        <w:numPr>
          <w:ilvl w:val="0"/>
          <w:numId w:val="1"/>
        </w:numPr>
        <w:spacing w:after="0"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That you are based in the UK. </w:t>
      </w:r>
    </w:p>
    <w:p w:rsidR="00000000" w:rsidDel="00000000" w:rsidP="00000000" w:rsidRDefault="00000000" w:rsidRPr="00000000" w14:paraId="00000008">
      <w:pPr>
        <w:widowControl w:val="0"/>
        <w:spacing w:after="20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Directors and Producers should be resident in the UK in order to be eligible for this fund. </w:t>
      </w:r>
    </w:p>
    <w:p w:rsidR="00000000" w:rsidDel="00000000" w:rsidP="00000000" w:rsidRDefault="00000000" w:rsidRPr="00000000" w14:paraId="00000009">
      <w:pPr>
        <w:widowControl w:val="0"/>
        <w:numPr>
          <w:ilvl w:val="0"/>
          <w:numId w:val="1"/>
        </w:numPr>
        <w:spacing w:after="0" w:before="0"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You are confident that your project (if awarded) can pass the BFI Cultural test </w:t>
      </w:r>
    </w:p>
    <w:p w:rsidR="00000000" w:rsidDel="00000000" w:rsidP="00000000" w:rsidRDefault="00000000" w:rsidRPr="00000000" w14:paraId="0000000A">
      <w:pPr>
        <w:widowControl w:val="0"/>
        <w:spacing w:after="200" w:before="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do not need to apply for certification at the application stage. If you</w:t>
      </w:r>
      <w:r w:rsidDel="00000000" w:rsidR="00000000" w:rsidRPr="00000000">
        <w:rPr>
          <w:rFonts w:ascii="Helvetica Neue" w:cs="Helvetica Neue" w:eastAsia="Helvetica Neue" w:hAnsi="Helvetica Neue"/>
          <w:sz w:val="20"/>
          <w:szCs w:val="20"/>
          <w:rtl w:val="0"/>
        </w:rPr>
        <w:t xml:space="preserve"> are awarded a grant, you will need to provide evidence that your project will qualify later on in the process. </w:t>
      </w:r>
      <w:r w:rsidDel="00000000" w:rsidR="00000000" w:rsidRPr="00000000">
        <w:rPr>
          <w:rFonts w:ascii="Helvetica Neue" w:cs="Helvetica Neue" w:eastAsia="Helvetica Neue" w:hAnsi="Helvetica Neue"/>
          <w:sz w:val="20"/>
          <w:szCs w:val="20"/>
          <w:rtl w:val="0"/>
        </w:rPr>
        <w:t xml:space="preserve">Information about the cultural test can be found </w:t>
      </w:r>
      <w:hyperlink r:id="rId6">
        <w:r w:rsidDel="00000000" w:rsidR="00000000" w:rsidRPr="00000000">
          <w:rPr>
            <w:rFonts w:ascii="Helvetica Neue" w:cs="Helvetica Neue" w:eastAsia="Helvetica Neue" w:hAnsi="Helvetica Neue"/>
            <w:color w:val="1155cc"/>
            <w:sz w:val="20"/>
            <w:szCs w:val="20"/>
            <w:u w:val="single"/>
            <w:rtl w:val="0"/>
          </w:rPr>
          <w:t xml:space="preserve">here</w:t>
        </w:r>
      </w:hyperlink>
      <w:r w:rsidDel="00000000" w:rsidR="00000000" w:rsidRPr="00000000">
        <w:rPr>
          <w:rFonts w:ascii="Helvetica Neue" w:cs="Helvetica Neue" w:eastAsia="Helvetica Neue" w:hAnsi="Helvetica Neue"/>
          <w:sz w:val="20"/>
          <w:szCs w:val="20"/>
          <w:rtl w:val="0"/>
        </w:rPr>
        <w:t xml:space="preserve">. All questions about the Cultural Test and co-production tax relief should be referred to </w:t>
      </w:r>
      <w:hyperlink r:id="rId7">
        <w:r w:rsidDel="00000000" w:rsidR="00000000" w:rsidRPr="00000000">
          <w:rPr>
            <w:rFonts w:ascii="Helvetica Neue" w:cs="Helvetica Neue" w:eastAsia="Helvetica Neue" w:hAnsi="Helvetica Neue"/>
            <w:color w:val="1155cc"/>
            <w:sz w:val="20"/>
            <w:szCs w:val="20"/>
            <w:u w:val="single"/>
            <w:rtl w:val="0"/>
          </w:rPr>
          <w:t xml:space="preserve">certifications@bfi.org.uk</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B">
      <w:pPr>
        <w:widowControl w:val="0"/>
        <w:numPr>
          <w:ilvl w:val="0"/>
          <w:numId w:val="1"/>
        </w:numPr>
        <w:spacing w:after="200" w:before="0"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You are confident that your project is</w:t>
      </w:r>
      <w:r w:rsidDel="00000000" w:rsidR="00000000" w:rsidRPr="00000000">
        <w:rPr>
          <w:b w:val="1"/>
          <w:sz w:val="20"/>
          <w:szCs w:val="20"/>
          <w:rtl w:val="0"/>
        </w:rPr>
        <w:t xml:space="preserve"> capable of obtaining a BBFC or  PEGI ‘18’ rating </w:t>
      </w:r>
      <w:r w:rsidDel="00000000" w:rsidR="00000000" w:rsidRPr="00000000">
        <w:rPr>
          <w:sz w:val="20"/>
          <w:szCs w:val="20"/>
          <w:rtl w:val="0"/>
        </w:rPr>
        <w:t xml:space="preserve">or less, for theatrical and video release. More information about BBFC ratings can be found </w:t>
      </w:r>
      <w:hyperlink r:id="rId8">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Information about PEGI ratings for immersive interactive works can be found </w:t>
      </w:r>
      <w:hyperlink r:id="rId9">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0C">
      <w:pPr>
        <w:widowControl w:val="0"/>
        <w:numPr>
          <w:ilvl w:val="0"/>
          <w:numId w:val="1"/>
        </w:numPr>
        <w:spacing w:after="200" w:before="0"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You have downloaded and completed the BFI Doc Society Diversity Standards form. </w:t>
      </w:r>
      <w:r w:rsidDel="00000000" w:rsidR="00000000" w:rsidRPr="00000000">
        <w:rPr>
          <w:rFonts w:ascii="Helvetica Neue" w:cs="Helvetica Neue" w:eastAsia="Helvetica Neue" w:hAnsi="Helvetica Neue"/>
          <w:sz w:val="20"/>
          <w:szCs w:val="20"/>
          <w:rtl w:val="0"/>
        </w:rPr>
        <w:t xml:space="preserve">You can download the form as a word doc or PDF in the </w:t>
      </w:r>
      <w:hyperlink r:id="rId10">
        <w:r w:rsidDel="00000000" w:rsidR="00000000" w:rsidRPr="00000000">
          <w:rPr>
            <w:rFonts w:ascii="Helvetica Neue" w:cs="Helvetica Neue" w:eastAsia="Helvetica Neue" w:hAnsi="Helvetica Neue"/>
            <w:color w:val="1155cc"/>
            <w:sz w:val="20"/>
            <w:szCs w:val="20"/>
            <w:u w:val="single"/>
            <w:rtl w:val="0"/>
          </w:rPr>
          <w:t xml:space="preserve">“Preview Documents”</w:t>
        </w:r>
      </w:hyperlink>
      <w:r w:rsidDel="00000000" w:rsidR="00000000" w:rsidRPr="00000000">
        <w:rPr>
          <w:rFonts w:ascii="Helvetica Neue" w:cs="Helvetica Neue" w:eastAsia="Helvetica Neue" w:hAnsi="Helvetica Neue"/>
          <w:sz w:val="20"/>
          <w:szCs w:val="20"/>
          <w:rtl w:val="0"/>
        </w:rPr>
        <w:t xml:space="preserve"> section of the web page,</w:t>
      </w:r>
      <w:r w:rsidDel="00000000" w:rsidR="00000000" w:rsidRPr="00000000">
        <w:rPr>
          <w:rFonts w:ascii="Helvetica Neue" w:cs="Helvetica Neue" w:eastAsia="Helvetica Neue" w:hAnsi="Helvetica Neue"/>
          <w:sz w:val="20"/>
          <w:szCs w:val="20"/>
          <w:rtl w:val="0"/>
        </w:rPr>
        <w:t xml:space="preserve"> you can read </w:t>
      </w:r>
      <w:r w:rsidDel="00000000" w:rsidR="00000000" w:rsidRPr="00000000">
        <w:rPr>
          <w:rFonts w:ascii="Helvetica Neue" w:cs="Helvetica Neue" w:eastAsia="Helvetica Neue" w:hAnsi="Helvetica Neue"/>
          <w:sz w:val="20"/>
          <w:szCs w:val="20"/>
          <w:rtl w:val="0"/>
        </w:rPr>
        <w:t xml:space="preserve">guidance notes </w:t>
      </w:r>
      <w:hyperlink r:id="rId11">
        <w:r w:rsidDel="00000000" w:rsidR="00000000" w:rsidRPr="00000000">
          <w:rPr>
            <w:rFonts w:ascii="Helvetica Neue" w:cs="Helvetica Neue" w:eastAsia="Helvetica Neue" w:hAnsi="Helvetica Neue"/>
            <w:color w:val="1155cc"/>
            <w:sz w:val="20"/>
            <w:szCs w:val="20"/>
            <w:u w:val="single"/>
            <w:rtl w:val="0"/>
          </w:rPr>
          <w:t xml:space="preserve">here</w:t>
        </w:r>
      </w:hyperlink>
      <w:r w:rsidDel="00000000" w:rsidR="00000000" w:rsidRPr="00000000">
        <w:rPr>
          <w:rFonts w:ascii="Helvetica Neue" w:cs="Helvetica Neue" w:eastAsia="Helvetica Neue" w:hAnsi="Helvetica Neue"/>
          <w:sz w:val="20"/>
          <w:szCs w:val="20"/>
          <w:rtl w:val="0"/>
        </w:rPr>
        <w:t xml:space="preserve">. We understand that you may be in the very early stages of your project and might not have all of your team on board yet, in this case we ask you to speak to your intentions of how you would make your project inclusive and accessible. You will be asked to upload the completed form as part of the application process. </w:t>
      </w:r>
      <w:r w:rsidDel="00000000" w:rsidR="00000000" w:rsidRPr="00000000">
        <w:rPr>
          <w:rtl w:val="0"/>
        </w:rPr>
      </w:r>
    </w:p>
    <w:p w:rsidR="00000000" w:rsidDel="00000000" w:rsidP="00000000" w:rsidRDefault="00000000" w:rsidRPr="00000000" w14:paraId="0000000D">
      <w:pPr>
        <w:widowControl w:val="0"/>
        <w:numPr>
          <w:ilvl w:val="0"/>
          <w:numId w:val="1"/>
        </w:numPr>
        <w:spacing w:after="200" w:before="0"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You have email addresses to hand for the Producer, Director and Writer (if applicable) </w:t>
      </w:r>
      <w:r w:rsidDel="00000000" w:rsidR="00000000" w:rsidRPr="00000000">
        <w:rPr>
          <w:rFonts w:ascii="Helvetica Neue" w:cs="Helvetica Neue" w:eastAsia="Helvetica Neue" w:hAnsi="Helvetica Neue"/>
          <w:sz w:val="20"/>
          <w:szCs w:val="20"/>
          <w:rtl w:val="0"/>
        </w:rPr>
        <w:t xml:space="preserve">You will not be asked to provide contact details of the director and/or writer at this stage, however, all key team members will need to complete the Equality Monitoring form in order for the application to be processed. When you fill out the online application form, you will be given a link to the form and a unique reference number which you can send to your team members in order that they can complete the Equality and Monitoring form anonymously. This information will be treated confidentially and will not be shared with the Doc Society team members who will review your application. </w:t>
      </w:r>
    </w:p>
    <w:p w:rsidR="00000000" w:rsidDel="00000000" w:rsidP="00000000" w:rsidRDefault="00000000" w:rsidRPr="00000000" w14:paraId="0000000E">
      <w:pPr>
        <w:widowControl w:val="0"/>
        <w:numPr>
          <w:ilvl w:val="0"/>
          <w:numId w:val="1"/>
        </w:numPr>
        <w:spacing w:after="0" w:before="0"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You have completed your budget and production calendar template</w:t>
      </w:r>
    </w:p>
    <w:p w:rsidR="00000000" w:rsidDel="00000000" w:rsidP="00000000" w:rsidRDefault="00000000" w:rsidRPr="00000000" w14:paraId="0000000F">
      <w:pPr>
        <w:widowControl w:val="0"/>
        <w:spacing w:after="0" w:before="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can download the budget template as an Excel document from the </w:t>
      </w:r>
      <w:hyperlink r:id="rId12">
        <w:r w:rsidDel="00000000" w:rsidR="00000000" w:rsidRPr="00000000">
          <w:rPr>
            <w:rFonts w:ascii="Helvetica Neue" w:cs="Helvetica Neue" w:eastAsia="Helvetica Neue" w:hAnsi="Helvetica Neue"/>
            <w:color w:val="1155cc"/>
            <w:sz w:val="20"/>
            <w:szCs w:val="20"/>
            <w:u w:val="single"/>
            <w:rtl w:val="0"/>
          </w:rPr>
          <w:t xml:space="preserve">“Preview Documents”</w:t>
        </w:r>
      </w:hyperlink>
      <w:r w:rsidDel="00000000" w:rsidR="00000000" w:rsidRPr="00000000">
        <w:rPr>
          <w:rFonts w:ascii="Helvetica Neue" w:cs="Helvetica Neue" w:eastAsia="Helvetica Neue" w:hAnsi="Helvetica Neue"/>
          <w:sz w:val="20"/>
          <w:szCs w:val="20"/>
          <w:rtl w:val="0"/>
        </w:rPr>
        <w:t xml:space="preserve"> section of the web page, you can edit the budget template in Microsoft Excel, Google Sheets or Apple Numbers. You should fill out the production calendar and budget tabs. If you have access costs you should also fill out the access budget section. You will be asked to upload this document as part of your application. </w:t>
      </w:r>
    </w:p>
    <w:p w:rsidR="00000000" w:rsidDel="00000000" w:rsidP="00000000" w:rsidRDefault="00000000" w:rsidRPr="00000000" w14:paraId="00000010">
      <w:pPr>
        <w:widowControl w:val="0"/>
        <w:spacing w:after="0" w:before="0"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widowControl w:val="0"/>
        <w:numPr>
          <w:ilvl w:val="0"/>
          <w:numId w:val="2"/>
        </w:numPr>
        <w:spacing w:after="0" w:before="0"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You have read the Guidelines in full </w:t>
      </w:r>
      <w:r w:rsidDel="00000000" w:rsidR="00000000" w:rsidRPr="00000000">
        <w:rPr>
          <w:rFonts w:ascii="Helvetica Neue" w:cs="Helvetica Neue" w:eastAsia="Helvetica Neue" w:hAnsi="Helvetica Neue"/>
          <w:sz w:val="20"/>
          <w:szCs w:val="20"/>
          <w:rtl w:val="0"/>
        </w:rPr>
        <w:t xml:space="preserve">You can find them in the  </w:t>
      </w:r>
      <w:hyperlink r:id="rId13">
        <w:r w:rsidDel="00000000" w:rsidR="00000000" w:rsidRPr="00000000">
          <w:rPr>
            <w:rFonts w:ascii="Helvetica Neue" w:cs="Helvetica Neue" w:eastAsia="Helvetica Neue" w:hAnsi="Helvetica Neue"/>
            <w:color w:val="1155cc"/>
            <w:sz w:val="20"/>
            <w:szCs w:val="20"/>
            <w:u w:val="single"/>
            <w:rtl w:val="0"/>
          </w:rPr>
          <w:t xml:space="preserve">“Preview Documents”</w:t>
        </w:r>
      </w:hyperlink>
      <w:r w:rsidDel="00000000" w:rsidR="00000000" w:rsidRPr="00000000">
        <w:rPr>
          <w:rFonts w:ascii="Helvetica Neue" w:cs="Helvetica Neue" w:eastAsia="Helvetica Neue" w:hAnsi="Helvetica Neue"/>
          <w:sz w:val="20"/>
          <w:szCs w:val="20"/>
          <w:rtl w:val="0"/>
        </w:rPr>
        <w:t xml:space="preserve"> section of the web page.</w:t>
      </w:r>
      <w:r w:rsidDel="00000000" w:rsidR="00000000" w:rsidRPr="00000000">
        <w:rPr>
          <w:rtl w:val="0"/>
        </w:rPr>
      </w:r>
    </w:p>
    <w:sectPr>
      <w:headerReference r:id="rId14" w:type="default"/>
      <w:headerReference r:id="rId15" w:type="first"/>
      <w:footerReference r:id="rId16"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spacing w:before="8"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widowControl w:val="0"/>
      <w:spacing w:before="8" w:line="240" w:lineRule="auto"/>
      <w:rPr/>
    </w:pPr>
    <w:r w:rsidDel="00000000" w:rsidR="00000000" w:rsidRPr="00000000">
      <w:rPr/>
      <w:drawing>
        <wp:inline distB="114300" distT="114300" distL="114300" distR="114300">
          <wp:extent cx="5731200" cy="1270000"/>
          <wp:effectExtent b="0" l="0" r="0" t="0"/>
          <wp:docPr id="1" name="image1.png"/>
          <a:graphic>
            <a:graphicData uri="http://schemas.openxmlformats.org/drawingml/2006/picture">
              <pic:pic>
                <pic:nvPicPr>
                  <pic:cNvPr id="0" name="image1.png"/>
                  <pic:cNvPicPr preferRelativeResize="0"/>
                </pic:nvPicPr>
                <pic:blipFill>
                  <a:blip r:embed="rId1"/>
                  <a:srcRect b="33266" l="0" r="0" t="0"/>
                  <a:stretch>
                    <a:fillRect/>
                  </a:stretch>
                </pic:blipFill>
                <pic:spPr>
                  <a:xfrm>
                    <a:off x="0" y="0"/>
                    <a:ext cx="5731200" cy="127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fi.org.uk/inclusion-film-industry/bfi-diversity-standards/bfi-diversity-standards-film" TargetMode="External"/><Relationship Id="rId10" Type="http://schemas.openxmlformats.org/officeDocument/2006/relationships/hyperlink" Target="https://bfi.docsociety.org/bfi-doc-shorts/" TargetMode="External"/><Relationship Id="rId13" Type="http://schemas.openxmlformats.org/officeDocument/2006/relationships/hyperlink" Target="https://bfi.docsociety.org/bfi-doc-shorts/" TargetMode="External"/><Relationship Id="rId12" Type="http://schemas.openxmlformats.org/officeDocument/2006/relationships/hyperlink" Target="https://bfi.docsociety.org/bfi-doc-sho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deostandards.org.uk/RatingBoard/ratings-system"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fi.org.uk/apply-british-certification-tax-relief/cultural-test-film" TargetMode="External"/><Relationship Id="rId7" Type="http://schemas.openxmlformats.org/officeDocument/2006/relationships/hyperlink" Target="mailto:certifications@bfi.org.uk" TargetMode="External"/><Relationship Id="rId8" Type="http://schemas.openxmlformats.org/officeDocument/2006/relationships/hyperlink" Target="https://www.bbfc.co.uk/about-classification/classification-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