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after="1"/>
        <w:rPr>
          <w:rFonts w:ascii="Times New Roman"/>
          <w:sz w:val="27"/>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30"/>
      </w:tblGrid>
      <w:tr>
        <w:trPr>
          <w:trHeight w:val="325" w:hRule="atLeast"/>
        </w:trPr>
        <w:tc>
          <w:tcPr>
            <w:tcW w:w="14430" w:type="dxa"/>
            <w:shd w:val="clear" w:color="auto" w:fill="DBE4F0"/>
          </w:tcPr>
          <w:p>
            <w:pPr>
              <w:pStyle w:val="TableParagraph"/>
              <w:spacing w:before="16"/>
              <w:ind w:left="74"/>
              <w:rPr>
                <w:b/>
                <w:sz w:val="22"/>
              </w:rPr>
            </w:pPr>
            <w:r>
              <w:rPr>
                <w:b/>
                <w:sz w:val="22"/>
              </w:rPr>
              <w:t>FILM OR PROJECT TITLE:</w:t>
            </w:r>
          </w:p>
        </w:tc>
      </w:tr>
      <w:tr>
        <w:trPr>
          <w:trHeight w:val="325" w:hRule="atLeast"/>
        </w:trPr>
        <w:tc>
          <w:tcPr>
            <w:tcW w:w="14430" w:type="dxa"/>
            <w:shd w:val="clear" w:color="auto" w:fill="DBE4F0"/>
          </w:tcPr>
          <w:p>
            <w:pPr>
              <w:pStyle w:val="TableParagraph"/>
              <w:spacing w:before="16"/>
              <w:ind w:left="74"/>
              <w:rPr>
                <w:b/>
                <w:sz w:val="22"/>
              </w:rPr>
            </w:pPr>
            <w:r>
              <w:rPr>
                <w:b/>
                <w:sz w:val="22"/>
              </w:rPr>
              <w:t>APPLICABLE FUND:</w:t>
            </w:r>
          </w:p>
        </w:tc>
      </w:tr>
      <w:tr>
        <w:trPr>
          <w:trHeight w:val="295" w:hRule="atLeast"/>
        </w:trPr>
        <w:tc>
          <w:tcPr>
            <w:tcW w:w="14430" w:type="dxa"/>
            <w:shd w:val="clear" w:color="auto" w:fill="DBE4F0"/>
          </w:tcPr>
          <w:p>
            <w:pPr>
              <w:pStyle w:val="TableParagraph"/>
              <w:spacing w:before="16"/>
              <w:ind w:left="74"/>
              <w:rPr>
                <w:b/>
                <w:sz w:val="22"/>
              </w:rPr>
            </w:pPr>
            <w:r>
              <w:rPr>
                <w:b/>
                <w:sz w:val="22"/>
              </w:rPr>
              <w:t>DATE:</w:t>
            </w:r>
          </w:p>
        </w:tc>
      </w:tr>
    </w:tbl>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4" w:after="0"/>
        <w:rPr>
          <w:rFonts w:ascii="Times New Roman"/>
          <w:sz w:val="14"/>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2695" w:hRule="atLeast"/>
        </w:trPr>
        <w:tc>
          <w:tcPr>
            <w:tcW w:w="14850" w:type="dxa"/>
            <w:gridSpan w:val="4"/>
            <w:shd w:val="clear" w:color="auto" w:fill="FFFF99"/>
          </w:tcPr>
          <w:p>
            <w:pPr>
              <w:pStyle w:val="TableParagraph"/>
              <w:spacing w:before="6"/>
              <w:rPr>
                <w:rFonts w:ascii="Times New Roman"/>
                <w:sz w:val="23"/>
              </w:rPr>
            </w:pPr>
          </w:p>
          <w:p>
            <w:pPr>
              <w:pStyle w:val="TableParagraph"/>
              <w:ind w:left="89"/>
              <w:rPr>
                <w:b/>
                <w:sz w:val="22"/>
              </w:rPr>
            </w:pPr>
            <w:r>
              <w:rPr>
                <w:b/>
                <w:sz w:val="22"/>
                <w:u w:val="single"/>
              </w:rPr>
              <w:t>STANDARD A - ON SCREEN REPRESENTATION, THEMES &amp; NARRATIVES</w:t>
            </w:r>
          </w:p>
          <w:p>
            <w:pPr>
              <w:pStyle w:val="TableParagraph"/>
              <w:spacing w:before="9"/>
              <w:rPr>
                <w:rFonts w:ascii="Times New Roman"/>
                <w:sz w:val="24"/>
              </w:rPr>
            </w:pPr>
          </w:p>
          <w:p>
            <w:pPr>
              <w:pStyle w:val="TableParagraph"/>
              <w:spacing w:line="254" w:lineRule="auto"/>
              <w:ind w:left="89" w:right="104"/>
              <w:jc w:val="both"/>
              <w:rPr>
                <w:sz w:val="22"/>
              </w:rPr>
            </w:pPr>
            <w:r>
              <w:rPr>
                <w:sz w:val="22"/>
              </w:rPr>
              <w:t>This section considers the representation and recognition of specific groups on screen. For example, does the project present unfamiliar characters or themes that are not frequently portrayed on screen? Or does it offer a familiar story, character or theme from a new perspective? Are there complex representations of characters who are normally relegated to two-dimensional roles? What is the perspective of the narrative, and how does this affect how characters are portrayed?</w:t>
            </w:r>
          </w:p>
          <w:p>
            <w:pPr>
              <w:pStyle w:val="TableParagraph"/>
              <w:spacing w:before="2"/>
              <w:rPr>
                <w:rFonts w:ascii="Times New Roman"/>
                <w:sz w:val="23"/>
              </w:rPr>
            </w:pPr>
          </w:p>
          <w:p>
            <w:pPr>
              <w:pStyle w:val="TableParagraph"/>
              <w:ind w:left="89"/>
              <w:jc w:val="both"/>
              <w:rPr>
                <w:b/>
                <w:sz w:val="22"/>
              </w:rPr>
            </w:pPr>
            <w:r>
              <w:rPr>
                <w:b/>
                <w:sz w:val="22"/>
                <w:u w:val="single"/>
              </w:rPr>
              <w:t>At least 3 of the 6 areas need to be addressed to meet STANDARD A</w:t>
            </w:r>
          </w:p>
        </w:tc>
      </w:tr>
      <w:tr>
        <w:trPr>
          <w:trHeight w:val="385" w:hRule="atLeast"/>
        </w:trPr>
        <w:tc>
          <w:tcPr>
            <w:tcW w:w="6915" w:type="dxa"/>
          </w:tcPr>
          <w:p>
            <w:pPr>
              <w:pStyle w:val="TableParagraph"/>
              <w:rPr>
                <w:rFonts w:ascii="Times New Roman"/>
                <w:sz w:val="20"/>
              </w:rPr>
            </w:pPr>
          </w:p>
        </w:tc>
        <w:tc>
          <w:tcPr>
            <w:tcW w:w="5955" w:type="dxa"/>
          </w:tcPr>
          <w:p>
            <w:pPr>
              <w:pStyle w:val="TableParagraph"/>
              <w:spacing w:before="8"/>
              <w:ind w:left="2665" w:right="2677"/>
              <w:jc w:val="center"/>
              <w:rPr>
                <w:b/>
                <w:sz w:val="18"/>
              </w:rPr>
            </w:pPr>
            <w:r>
              <w:rPr>
                <w:b/>
                <w:sz w:val="18"/>
              </w:rPr>
              <w:t>NOTES</w:t>
            </w:r>
          </w:p>
        </w:tc>
        <w:tc>
          <w:tcPr>
            <w:tcW w:w="990" w:type="dxa"/>
          </w:tcPr>
          <w:p>
            <w:pPr>
              <w:pStyle w:val="TableParagraph"/>
              <w:spacing w:before="8"/>
              <w:ind w:left="314"/>
              <w:rPr>
                <w:b/>
                <w:sz w:val="18"/>
              </w:rPr>
            </w:pPr>
            <w:r>
              <w:rPr>
                <w:b/>
                <w:sz w:val="18"/>
              </w:rPr>
              <w:t>Y/N</w:t>
            </w:r>
          </w:p>
        </w:tc>
        <w:tc>
          <w:tcPr>
            <w:tcW w:w="990" w:type="dxa"/>
            <w:shd w:val="clear" w:color="auto" w:fill="F1F1F1"/>
          </w:tcPr>
          <w:p>
            <w:pPr>
              <w:pStyle w:val="TableParagraph"/>
              <w:spacing w:line="183" w:lineRule="exact"/>
              <w:ind w:left="85" w:right="96"/>
              <w:jc w:val="center"/>
              <w:rPr>
                <w:b/>
                <w:sz w:val="16"/>
              </w:rPr>
            </w:pPr>
            <w:r>
              <w:rPr>
                <w:b/>
                <w:sz w:val="16"/>
              </w:rPr>
              <w:t>Y/N</w:t>
            </w:r>
          </w:p>
          <w:p>
            <w:pPr>
              <w:pStyle w:val="TableParagraph"/>
              <w:spacing w:line="173" w:lineRule="exact" w:before="9"/>
              <w:ind w:left="85" w:right="109"/>
              <w:jc w:val="center"/>
              <w:rPr>
                <w:b/>
                <w:sz w:val="16"/>
              </w:rPr>
            </w:pPr>
            <w:r>
              <w:rPr>
                <w:b/>
                <w:sz w:val="16"/>
              </w:rPr>
              <w:t>INTERNAL</w:t>
            </w:r>
          </w:p>
        </w:tc>
      </w:tr>
      <w:tr>
        <w:trPr>
          <w:trHeight w:val="805" w:hRule="atLeast"/>
        </w:trPr>
        <w:tc>
          <w:tcPr>
            <w:tcW w:w="6915" w:type="dxa"/>
          </w:tcPr>
          <w:p>
            <w:pPr>
              <w:pStyle w:val="TableParagraph"/>
              <w:spacing w:line="254" w:lineRule="auto" w:before="1"/>
              <w:ind w:left="89" w:right="167"/>
              <w:rPr>
                <w:sz w:val="22"/>
              </w:rPr>
            </w:pPr>
            <w:r>
              <w:rPr>
                <w:b/>
                <w:sz w:val="22"/>
              </w:rPr>
              <w:t>A1 </w:t>
            </w:r>
            <w:r>
              <w:rPr>
                <w:sz w:val="22"/>
              </w:rPr>
              <w:t>– Meaningful representations of diversity in main protagonists &amp;/or antagonists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805" w:hRule="atLeast"/>
        </w:trPr>
        <w:tc>
          <w:tcPr>
            <w:tcW w:w="6915" w:type="dxa"/>
          </w:tcPr>
          <w:p>
            <w:pPr>
              <w:pStyle w:val="TableParagraph"/>
              <w:spacing w:line="254" w:lineRule="auto" w:before="1"/>
              <w:ind w:left="89" w:right="167"/>
              <w:rPr>
                <w:sz w:val="22"/>
              </w:rPr>
            </w:pPr>
            <w:r>
              <w:rPr>
                <w:b/>
                <w:sz w:val="22"/>
              </w:rPr>
              <w:t>A2 </w:t>
            </w:r>
            <w:r>
              <w:rPr>
                <w:sz w:val="22"/>
              </w:rPr>
              <w:t>- Meaningful representations of diversity in primary or overall themes &amp; narratives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A3 </w:t>
            </w:r>
            <w:r>
              <w:rPr>
                <w:sz w:val="22"/>
              </w:rPr>
              <w:t>– Meaningful or unfamiliar representations of diversity in secondary themes &amp; narratives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A4 </w:t>
            </w:r>
            <w:r>
              <w:rPr>
                <w:sz w:val="22"/>
              </w:rPr>
              <w:t>– Meaningful representation of place (e.g. nations, regions or communities that are under-represented onscreen)</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type w:val="continuous"/>
          <w:pgSz w:w="16860" w:h="11920" w:orient="landscape"/>
          <w:pgMar w:top="1120" w:bottom="280" w:left="920" w:right="840"/>
        </w:sectPr>
      </w:pPr>
    </w:p>
    <w:p>
      <w:pPr>
        <w:spacing w:line="240" w:lineRule="auto" w:before="9" w:after="1"/>
        <w:rPr>
          <w:rFonts w:ascii="Times New Roman"/>
          <w:sz w:val="27"/>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1075" w:hRule="atLeast"/>
        </w:trPr>
        <w:tc>
          <w:tcPr>
            <w:tcW w:w="6915" w:type="dxa"/>
          </w:tcPr>
          <w:p>
            <w:pPr>
              <w:pStyle w:val="TableParagraph"/>
              <w:spacing w:line="254" w:lineRule="auto" w:before="1"/>
              <w:ind w:left="89" w:right="167"/>
              <w:rPr>
                <w:sz w:val="22"/>
              </w:rPr>
            </w:pPr>
            <w:r>
              <w:rPr>
                <w:b/>
                <w:sz w:val="22"/>
              </w:rPr>
              <w:t>A5 </w:t>
            </w:r>
            <w:r>
              <w:rPr>
                <w:sz w:val="22"/>
              </w:rPr>
              <w:t>- Meaningful representations of diversity in background &amp; sundry characters who are pertinent to the narrative &amp; themes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A6 </w:t>
            </w:r>
            <w:r>
              <w:rPr>
                <w:sz w:val="22"/>
              </w:rPr>
              <w:t>- Non-specific representation (e.g. casting not intrinsically based on or related to specific under-represented groups)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0"/>
        <w:rPr>
          <w:rFonts w:ascii="Times New Roman"/>
          <w:sz w:val="20"/>
        </w:rPr>
      </w:pPr>
    </w:p>
    <w:p>
      <w:pPr>
        <w:spacing w:line="240" w:lineRule="auto" w:before="0"/>
        <w:rPr>
          <w:rFonts w:ascii="Times New Roman"/>
          <w:sz w:val="20"/>
        </w:rPr>
      </w:pPr>
    </w:p>
    <w:p>
      <w:pPr>
        <w:spacing w:line="240" w:lineRule="auto" w:before="10" w:after="1"/>
        <w:rPr>
          <w:rFonts w:ascii="Times New Roman"/>
          <w:sz w:val="13"/>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3430" w:hRule="atLeast"/>
        </w:trPr>
        <w:tc>
          <w:tcPr>
            <w:tcW w:w="14850" w:type="dxa"/>
            <w:gridSpan w:val="4"/>
            <w:shd w:val="clear" w:color="auto" w:fill="FFFF99"/>
          </w:tcPr>
          <w:p>
            <w:pPr>
              <w:pStyle w:val="TableParagraph"/>
              <w:spacing w:before="6"/>
              <w:rPr>
                <w:rFonts w:ascii="Times New Roman"/>
                <w:sz w:val="23"/>
              </w:rPr>
            </w:pPr>
          </w:p>
          <w:p>
            <w:pPr>
              <w:pStyle w:val="TableParagraph"/>
              <w:ind w:left="89"/>
              <w:rPr>
                <w:b/>
                <w:sz w:val="22"/>
              </w:rPr>
            </w:pPr>
            <w:r>
              <w:rPr>
                <w:b/>
                <w:sz w:val="22"/>
                <w:u w:val="single"/>
              </w:rPr>
              <w:t>STANDARD B - PROJECT LEADERSHIP &amp; CREATIVE PRACTITIONERS</w:t>
            </w:r>
          </w:p>
          <w:p>
            <w:pPr>
              <w:pStyle w:val="TableParagraph"/>
              <w:spacing w:before="9"/>
              <w:rPr>
                <w:rFonts w:ascii="Times New Roman"/>
                <w:sz w:val="24"/>
              </w:rPr>
            </w:pPr>
          </w:p>
          <w:p>
            <w:pPr>
              <w:pStyle w:val="TableParagraph"/>
              <w:spacing w:line="254" w:lineRule="auto"/>
              <w:ind w:left="89" w:right="200"/>
              <w:jc w:val="both"/>
              <w:rPr>
                <w:sz w:val="22"/>
              </w:rPr>
            </w:pPr>
            <w:r>
              <w:rPr>
                <w:sz w:val="22"/>
              </w:rPr>
              <w:t>This</w:t>
            </w:r>
            <w:r>
              <w:rPr>
                <w:spacing w:val="-5"/>
                <w:sz w:val="22"/>
              </w:rPr>
              <w:t> </w:t>
            </w:r>
            <w:r>
              <w:rPr>
                <w:sz w:val="22"/>
              </w:rPr>
              <w:t>section</w:t>
            </w:r>
            <w:r>
              <w:rPr>
                <w:spacing w:val="-5"/>
                <w:sz w:val="22"/>
              </w:rPr>
              <w:t> </w:t>
            </w:r>
            <w:r>
              <w:rPr>
                <w:sz w:val="22"/>
              </w:rPr>
              <w:t>looks</w:t>
            </w:r>
            <w:r>
              <w:rPr>
                <w:spacing w:val="-5"/>
                <w:sz w:val="22"/>
              </w:rPr>
              <w:t> </w:t>
            </w:r>
            <w:r>
              <w:rPr>
                <w:sz w:val="22"/>
              </w:rPr>
              <w:t>at</w:t>
            </w:r>
            <w:r>
              <w:rPr>
                <w:spacing w:val="-5"/>
                <w:sz w:val="22"/>
              </w:rPr>
              <w:t> </w:t>
            </w:r>
            <w:r>
              <w:rPr>
                <w:sz w:val="22"/>
              </w:rPr>
              <w:t>where</w:t>
            </w:r>
            <w:r>
              <w:rPr>
                <w:spacing w:val="-5"/>
                <w:sz w:val="22"/>
              </w:rPr>
              <w:t> </w:t>
            </w:r>
            <w:r>
              <w:rPr>
                <w:sz w:val="22"/>
              </w:rPr>
              <w:t>artistic</w:t>
            </w:r>
            <w:r>
              <w:rPr>
                <w:spacing w:val="-5"/>
                <w:sz w:val="22"/>
              </w:rPr>
              <w:t> </w:t>
            </w:r>
            <w:r>
              <w:rPr>
                <w:sz w:val="22"/>
              </w:rPr>
              <w:t>leadership</w:t>
            </w:r>
            <w:r>
              <w:rPr>
                <w:spacing w:val="-5"/>
                <w:sz w:val="22"/>
              </w:rPr>
              <w:t> </w:t>
            </w:r>
            <w:r>
              <w:rPr>
                <w:sz w:val="22"/>
              </w:rPr>
              <w:t>is</w:t>
            </w:r>
            <w:r>
              <w:rPr>
                <w:spacing w:val="-5"/>
                <w:sz w:val="22"/>
              </w:rPr>
              <w:t> </w:t>
            </w:r>
            <w:r>
              <w:rPr>
                <w:sz w:val="22"/>
              </w:rPr>
              <w:t>delivered</w:t>
            </w:r>
            <w:r>
              <w:rPr>
                <w:spacing w:val="-5"/>
                <w:sz w:val="22"/>
              </w:rPr>
              <w:t> </w:t>
            </w:r>
            <w:r>
              <w:rPr>
                <w:sz w:val="22"/>
              </w:rPr>
              <w:t>by</w:t>
            </w:r>
            <w:r>
              <w:rPr>
                <w:spacing w:val="-5"/>
                <w:sz w:val="22"/>
              </w:rPr>
              <w:t> </w:t>
            </w:r>
            <w:r>
              <w:rPr>
                <w:sz w:val="22"/>
              </w:rPr>
              <w:t>individuals</w:t>
            </w:r>
            <w:r>
              <w:rPr>
                <w:spacing w:val="-5"/>
                <w:sz w:val="22"/>
              </w:rPr>
              <w:t> </w:t>
            </w:r>
            <w:r>
              <w:rPr>
                <w:sz w:val="22"/>
              </w:rPr>
              <w:t>from</w:t>
            </w:r>
            <w:r>
              <w:rPr>
                <w:spacing w:val="-4"/>
                <w:sz w:val="22"/>
              </w:rPr>
              <w:t> </w:t>
            </w:r>
            <w:r>
              <w:rPr>
                <w:sz w:val="22"/>
              </w:rPr>
              <w:t>one</w:t>
            </w:r>
            <w:r>
              <w:rPr>
                <w:spacing w:val="-5"/>
                <w:sz w:val="22"/>
              </w:rPr>
              <w:t> </w:t>
            </w:r>
            <w:r>
              <w:rPr>
                <w:sz w:val="22"/>
              </w:rPr>
              <w:t>or</w:t>
            </w:r>
            <w:r>
              <w:rPr>
                <w:spacing w:val="-5"/>
                <w:sz w:val="22"/>
              </w:rPr>
              <w:t> </w:t>
            </w:r>
            <w:r>
              <w:rPr>
                <w:sz w:val="22"/>
              </w:rPr>
              <w:t>more</w:t>
            </w:r>
            <w:r>
              <w:rPr>
                <w:spacing w:val="-5"/>
                <w:sz w:val="22"/>
              </w:rPr>
              <w:t> </w:t>
            </w:r>
            <w:r>
              <w:rPr>
                <w:sz w:val="22"/>
              </w:rPr>
              <w:t>of</w:t>
            </w:r>
            <w:r>
              <w:rPr>
                <w:spacing w:val="-5"/>
                <w:sz w:val="22"/>
              </w:rPr>
              <w:t> </w:t>
            </w:r>
            <w:r>
              <w:rPr>
                <w:sz w:val="22"/>
              </w:rPr>
              <w:t>the</w:t>
            </w:r>
            <w:r>
              <w:rPr>
                <w:spacing w:val="-5"/>
                <w:sz w:val="22"/>
              </w:rPr>
              <w:t> </w:t>
            </w:r>
            <w:r>
              <w:rPr>
                <w:sz w:val="22"/>
              </w:rPr>
              <w:t>under-represented</w:t>
            </w:r>
            <w:r>
              <w:rPr>
                <w:spacing w:val="-5"/>
                <w:sz w:val="22"/>
              </w:rPr>
              <w:t> </w:t>
            </w:r>
            <w:r>
              <w:rPr>
                <w:sz w:val="22"/>
              </w:rPr>
              <w:t>groups.</w:t>
            </w:r>
            <w:r>
              <w:rPr>
                <w:spacing w:val="-5"/>
                <w:sz w:val="22"/>
              </w:rPr>
              <w:t> </w:t>
            </w:r>
            <w:r>
              <w:rPr>
                <w:sz w:val="22"/>
              </w:rPr>
              <w:t>Is</w:t>
            </w:r>
            <w:r>
              <w:rPr>
                <w:spacing w:val="-5"/>
                <w:sz w:val="22"/>
              </w:rPr>
              <w:t> </w:t>
            </w:r>
            <w:r>
              <w:rPr>
                <w:sz w:val="22"/>
              </w:rPr>
              <w:t>this</w:t>
            </w:r>
            <w:r>
              <w:rPr>
                <w:spacing w:val="-5"/>
                <w:sz w:val="22"/>
              </w:rPr>
              <w:t> </w:t>
            </w:r>
            <w:r>
              <w:rPr>
                <w:sz w:val="22"/>
              </w:rPr>
              <w:t>likely</w:t>
            </w:r>
            <w:r>
              <w:rPr>
                <w:spacing w:val="-5"/>
                <w:sz w:val="22"/>
              </w:rPr>
              <w:t> </w:t>
            </w:r>
            <w:r>
              <w:rPr>
                <w:sz w:val="22"/>
              </w:rPr>
              <w:t>to</w:t>
            </w:r>
            <w:r>
              <w:rPr>
                <w:spacing w:val="-5"/>
                <w:sz w:val="22"/>
              </w:rPr>
              <w:t> </w:t>
            </w:r>
            <w:r>
              <w:rPr>
                <w:sz w:val="22"/>
              </w:rPr>
              <w:t>have</w:t>
            </w:r>
            <w:r>
              <w:rPr>
                <w:spacing w:val="-4"/>
                <w:sz w:val="22"/>
              </w:rPr>
              <w:t> </w:t>
            </w:r>
            <w:r>
              <w:rPr>
                <w:sz w:val="22"/>
              </w:rPr>
              <w:t>a positive</w:t>
            </w:r>
            <w:r>
              <w:rPr>
                <w:spacing w:val="-4"/>
                <w:sz w:val="22"/>
              </w:rPr>
              <w:t> </w:t>
            </w:r>
            <w:r>
              <w:rPr>
                <w:sz w:val="22"/>
              </w:rPr>
              <w:t>outcome</w:t>
            </w:r>
            <w:r>
              <w:rPr>
                <w:spacing w:val="-3"/>
                <w:sz w:val="22"/>
              </w:rPr>
              <w:t> </w:t>
            </w:r>
            <w:r>
              <w:rPr>
                <w:sz w:val="22"/>
              </w:rPr>
              <w:t>on</w:t>
            </w:r>
            <w:r>
              <w:rPr>
                <w:spacing w:val="-3"/>
                <w:sz w:val="22"/>
              </w:rPr>
              <w:t> </w:t>
            </w:r>
            <w:r>
              <w:rPr>
                <w:sz w:val="22"/>
              </w:rPr>
              <w:t>the</w:t>
            </w:r>
            <w:r>
              <w:rPr>
                <w:spacing w:val="-3"/>
                <w:sz w:val="22"/>
              </w:rPr>
              <w:t> </w:t>
            </w:r>
            <w:r>
              <w:rPr>
                <w:sz w:val="22"/>
              </w:rPr>
              <w:t>project?</w:t>
            </w:r>
            <w:r>
              <w:rPr>
                <w:spacing w:val="-4"/>
                <w:sz w:val="22"/>
              </w:rPr>
              <w:t> </w:t>
            </w:r>
            <w:r>
              <w:rPr>
                <w:sz w:val="22"/>
              </w:rPr>
              <w:t>Does</w:t>
            </w:r>
            <w:r>
              <w:rPr>
                <w:spacing w:val="-3"/>
                <w:sz w:val="22"/>
              </w:rPr>
              <w:t> </w:t>
            </w:r>
            <w:r>
              <w:rPr>
                <w:sz w:val="22"/>
              </w:rPr>
              <w:t>it</w:t>
            </w:r>
            <w:r>
              <w:rPr>
                <w:spacing w:val="-3"/>
                <w:sz w:val="22"/>
              </w:rPr>
              <w:t> </w:t>
            </w:r>
            <w:r>
              <w:rPr>
                <w:sz w:val="22"/>
              </w:rPr>
              <w:t>introduce</w:t>
            </w:r>
            <w:r>
              <w:rPr>
                <w:spacing w:val="-3"/>
                <w:sz w:val="22"/>
              </w:rPr>
              <w:t> </w:t>
            </w:r>
            <w:r>
              <w:rPr>
                <w:sz w:val="22"/>
              </w:rPr>
              <w:t>a</w:t>
            </w:r>
            <w:r>
              <w:rPr>
                <w:spacing w:val="-4"/>
                <w:sz w:val="22"/>
              </w:rPr>
              <w:t> </w:t>
            </w:r>
            <w:r>
              <w:rPr>
                <w:sz w:val="22"/>
              </w:rPr>
              <w:t>new</w:t>
            </w:r>
            <w:r>
              <w:rPr>
                <w:spacing w:val="-3"/>
                <w:sz w:val="22"/>
              </w:rPr>
              <w:t> </w:t>
            </w:r>
            <w:r>
              <w:rPr>
                <w:sz w:val="22"/>
              </w:rPr>
              <w:t>voice,</w:t>
            </w:r>
            <w:r>
              <w:rPr>
                <w:spacing w:val="-3"/>
                <w:sz w:val="22"/>
              </w:rPr>
              <w:t> </w:t>
            </w:r>
            <w:r>
              <w:rPr>
                <w:sz w:val="22"/>
              </w:rPr>
              <w:t>or</w:t>
            </w:r>
            <w:r>
              <w:rPr>
                <w:spacing w:val="-3"/>
                <w:sz w:val="22"/>
              </w:rPr>
              <w:t> </w:t>
            </w:r>
            <w:r>
              <w:rPr>
                <w:sz w:val="22"/>
              </w:rPr>
              <w:t>carry</w:t>
            </w:r>
            <w:r>
              <w:rPr>
                <w:spacing w:val="-4"/>
                <w:sz w:val="22"/>
              </w:rPr>
              <w:t> </w:t>
            </w:r>
            <w:r>
              <w:rPr>
                <w:sz w:val="22"/>
              </w:rPr>
              <w:t>the</w:t>
            </w:r>
            <w:r>
              <w:rPr>
                <w:spacing w:val="-3"/>
                <w:sz w:val="22"/>
              </w:rPr>
              <w:t> </w:t>
            </w:r>
            <w:r>
              <w:rPr>
                <w:sz w:val="22"/>
              </w:rPr>
              <w:t>potential</w:t>
            </w:r>
            <w:r>
              <w:rPr>
                <w:spacing w:val="-3"/>
                <w:sz w:val="22"/>
              </w:rPr>
              <w:t> </w:t>
            </w:r>
            <w:r>
              <w:rPr>
                <w:sz w:val="22"/>
              </w:rPr>
              <w:t>to</w:t>
            </w:r>
            <w:r>
              <w:rPr>
                <w:spacing w:val="-3"/>
                <w:sz w:val="22"/>
              </w:rPr>
              <w:t> </w:t>
            </w:r>
            <w:r>
              <w:rPr>
                <w:sz w:val="22"/>
              </w:rPr>
              <w:t>open</w:t>
            </w:r>
            <w:r>
              <w:rPr>
                <w:spacing w:val="-3"/>
                <w:sz w:val="22"/>
              </w:rPr>
              <w:t> </w:t>
            </w:r>
            <w:r>
              <w:rPr>
                <w:sz w:val="22"/>
              </w:rPr>
              <w:t>doors</w:t>
            </w:r>
            <w:r>
              <w:rPr>
                <w:spacing w:val="-4"/>
                <w:sz w:val="22"/>
              </w:rPr>
              <w:t> </w:t>
            </w:r>
            <w:r>
              <w:rPr>
                <w:sz w:val="22"/>
              </w:rPr>
              <w:t>that</w:t>
            </w:r>
            <w:r>
              <w:rPr>
                <w:spacing w:val="-3"/>
                <w:sz w:val="22"/>
              </w:rPr>
              <w:t> </w:t>
            </w:r>
            <w:r>
              <w:rPr>
                <w:sz w:val="22"/>
              </w:rPr>
              <w:t>have</w:t>
            </w:r>
            <w:r>
              <w:rPr>
                <w:spacing w:val="-3"/>
                <w:sz w:val="22"/>
              </w:rPr>
              <w:t> </w:t>
            </w:r>
            <w:r>
              <w:rPr>
                <w:sz w:val="22"/>
              </w:rPr>
              <w:t>historically</w:t>
            </w:r>
            <w:r>
              <w:rPr>
                <w:spacing w:val="-3"/>
                <w:sz w:val="22"/>
              </w:rPr>
              <w:t> </w:t>
            </w:r>
            <w:r>
              <w:rPr>
                <w:sz w:val="22"/>
              </w:rPr>
              <w:t>been</w:t>
            </w:r>
            <w:r>
              <w:rPr>
                <w:spacing w:val="-4"/>
                <w:sz w:val="22"/>
              </w:rPr>
              <w:t> </w:t>
            </w:r>
            <w:r>
              <w:rPr>
                <w:sz w:val="22"/>
              </w:rPr>
              <w:t>closed?</w:t>
            </w:r>
          </w:p>
          <w:p>
            <w:pPr>
              <w:pStyle w:val="TableParagraph"/>
              <w:spacing w:before="4"/>
              <w:rPr>
                <w:rFonts w:ascii="Times New Roman"/>
                <w:sz w:val="23"/>
              </w:rPr>
            </w:pPr>
          </w:p>
          <w:p>
            <w:pPr>
              <w:pStyle w:val="TableParagraph"/>
              <w:spacing w:line="254" w:lineRule="auto"/>
              <w:ind w:left="89" w:right="107"/>
              <w:jc w:val="both"/>
              <w:rPr>
                <w:b/>
                <w:sz w:val="22"/>
              </w:rPr>
            </w:pPr>
            <w:r>
              <w:rPr>
                <w:b/>
                <w:sz w:val="22"/>
                <w:u w:val="single"/>
              </w:rPr>
              <w:t>At least 2 of the 4 areas need to be addressed to meet STANDARD B.</w:t>
            </w:r>
            <w:r>
              <w:rPr>
                <w:b/>
                <w:sz w:val="22"/>
              </w:rPr>
              <w:t> Where it is too early in the process to confirm roles, or you are in the process of recruiting, we would expect to see clarity of intention in regards to searching for diverse staff. Where possible your application should also demonstrate how you are changing your recruitment practices; how, when and where are you recruiting? Are interview venues and workplaces accessible? Do you offer additional support for specific access requirements, including travel?</w:t>
            </w:r>
          </w:p>
          <w:p>
            <w:pPr>
              <w:pStyle w:val="TableParagraph"/>
              <w:spacing w:before="2"/>
              <w:rPr>
                <w:rFonts w:ascii="Times New Roman"/>
                <w:sz w:val="23"/>
              </w:rPr>
            </w:pPr>
          </w:p>
          <w:p>
            <w:pPr>
              <w:pStyle w:val="TableParagraph"/>
              <w:ind w:left="89"/>
              <w:jc w:val="both"/>
              <w:rPr>
                <w:b/>
                <w:sz w:val="22"/>
              </w:rPr>
            </w:pPr>
            <w:r>
              <w:rPr>
                <w:b/>
                <w:sz w:val="22"/>
              </w:rPr>
              <w:t>Allowances will be made for projects with smaller teams (e.g. documentaries, smaller festivals and programme projects)</w:t>
            </w:r>
          </w:p>
        </w:tc>
      </w:tr>
      <w:tr>
        <w:trPr>
          <w:trHeight w:val="505" w:hRule="atLeast"/>
        </w:trPr>
        <w:tc>
          <w:tcPr>
            <w:tcW w:w="6915" w:type="dxa"/>
          </w:tcPr>
          <w:p>
            <w:pPr>
              <w:pStyle w:val="TableParagraph"/>
              <w:rPr>
                <w:rFonts w:ascii="Times New Roman"/>
                <w:sz w:val="20"/>
              </w:rPr>
            </w:pPr>
          </w:p>
        </w:tc>
        <w:tc>
          <w:tcPr>
            <w:tcW w:w="5955" w:type="dxa"/>
          </w:tcPr>
          <w:p>
            <w:pPr>
              <w:pStyle w:val="TableParagraph"/>
              <w:spacing w:before="8"/>
              <w:ind w:left="2665" w:right="2677"/>
              <w:jc w:val="center"/>
              <w:rPr>
                <w:b/>
                <w:sz w:val="18"/>
              </w:rPr>
            </w:pPr>
            <w:r>
              <w:rPr>
                <w:b/>
                <w:sz w:val="18"/>
              </w:rPr>
              <w:t>NOTES</w:t>
            </w:r>
          </w:p>
        </w:tc>
        <w:tc>
          <w:tcPr>
            <w:tcW w:w="990" w:type="dxa"/>
          </w:tcPr>
          <w:p>
            <w:pPr>
              <w:pStyle w:val="TableParagraph"/>
              <w:spacing w:before="8"/>
              <w:ind w:left="314"/>
              <w:rPr>
                <w:b/>
                <w:sz w:val="18"/>
              </w:rPr>
            </w:pPr>
            <w:r>
              <w:rPr>
                <w:b/>
                <w:sz w:val="18"/>
              </w:rPr>
              <w:t>Y/N</w:t>
            </w:r>
          </w:p>
        </w:tc>
        <w:tc>
          <w:tcPr>
            <w:tcW w:w="990" w:type="dxa"/>
            <w:shd w:val="clear" w:color="auto" w:fill="F1F1F1"/>
          </w:tcPr>
          <w:p>
            <w:pPr>
              <w:pStyle w:val="TableParagraph"/>
              <w:spacing w:line="252" w:lineRule="auto"/>
              <w:ind w:left="104" w:right="111" w:firstLine="240"/>
              <w:rPr>
                <w:b/>
                <w:sz w:val="16"/>
              </w:rPr>
            </w:pPr>
            <w:r>
              <w:rPr>
                <w:b/>
                <w:sz w:val="16"/>
              </w:rPr>
              <w:t>Y/N INTERNAL</w:t>
            </w:r>
          </w:p>
        </w:tc>
      </w:tr>
      <w:tr>
        <w:trPr>
          <w:trHeight w:val="1885" w:hRule="atLeast"/>
        </w:trPr>
        <w:tc>
          <w:tcPr>
            <w:tcW w:w="6915" w:type="dxa"/>
          </w:tcPr>
          <w:p>
            <w:pPr>
              <w:pStyle w:val="TableParagraph"/>
              <w:spacing w:line="254" w:lineRule="auto" w:before="1"/>
              <w:ind w:left="89"/>
              <w:rPr>
                <w:sz w:val="22"/>
              </w:rPr>
            </w:pPr>
            <w:r>
              <w:rPr>
                <w:b/>
                <w:sz w:val="22"/>
              </w:rPr>
              <w:t>B1 – </w:t>
            </w:r>
            <w:r>
              <w:rPr>
                <w:sz w:val="22"/>
              </w:rPr>
              <w:t>At least 3 of Director, Scriptwriter, Principal Producer, Composer, DoP, Editor, Costume Designer and Production Designer</w:t>
            </w:r>
          </w:p>
          <w:p>
            <w:pPr>
              <w:pStyle w:val="TableParagraph"/>
              <w:spacing w:before="3"/>
              <w:rPr>
                <w:rFonts w:ascii="Times New Roman"/>
                <w:sz w:val="23"/>
              </w:rPr>
            </w:pPr>
          </w:p>
          <w:p>
            <w:pPr>
              <w:pStyle w:val="TableParagraph"/>
              <w:spacing w:line="254" w:lineRule="auto" w:before="1"/>
              <w:ind w:left="89"/>
              <w:rPr>
                <w:sz w:val="22"/>
              </w:rPr>
            </w:pPr>
            <w:r>
              <w:rPr>
                <w:sz w:val="22"/>
              </w:rPr>
              <w:t>For </w:t>
            </w:r>
            <w:r>
              <w:rPr>
                <w:b/>
                <w:sz w:val="22"/>
              </w:rPr>
              <w:t>Programmes &amp; Festivals</w:t>
            </w:r>
            <w:r>
              <w:rPr>
                <w:sz w:val="22"/>
              </w:rPr>
              <w:t>: where the artistic leadership is delivered by individuals from one or more of the under-represented groups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345" w:hRule="atLeast"/>
        </w:trPr>
        <w:tc>
          <w:tcPr>
            <w:tcW w:w="6915" w:type="dxa"/>
          </w:tcPr>
          <w:p>
            <w:pPr>
              <w:pStyle w:val="TableParagraph"/>
              <w:spacing w:line="254" w:lineRule="auto" w:before="1"/>
              <w:ind w:left="89" w:right="167"/>
              <w:rPr>
                <w:sz w:val="22"/>
              </w:rPr>
            </w:pPr>
            <w:r>
              <w:rPr>
                <w:b/>
                <w:sz w:val="22"/>
              </w:rPr>
              <w:t>B2 - </w:t>
            </w:r>
            <w:r>
              <w:rPr>
                <w:sz w:val="22"/>
              </w:rPr>
              <w:t>At least 6 other key roles (which could be mid-level crew &amp; technical positions, or other roles where there is existing</w:t>
            </w:r>
          </w:p>
          <w:p>
            <w:pPr>
              <w:pStyle w:val="TableParagraph"/>
              <w:spacing w:line="254" w:lineRule="exact"/>
              <w:ind w:left="89"/>
              <w:rPr>
                <w:sz w:val="22"/>
              </w:rPr>
            </w:pPr>
            <w:r>
              <w:rPr>
                <w:sz w:val="22"/>
              </w:rPr>
              <w:t>under-representation)</w:t>
            </w:r>
          </w:p>
          <w:p>
            <w:pPr>
              <w:pStyle w:val="TableParagraph"/>
              <w:spacing w:before="14"/>
              <w:ind w:left="89"/>
              <w:rPr>
                <w:sz w:val="22"/>
              </w:rPr>
            </w:pPr>
            <w:r>
              <w:rPr>
                <w:sz w:val="22"/>
              </w:rPr>
              <w:t>For </w:t>
            </w:r>
            <w:r>
              <w:rPr>
                <w:b/>
                <w:sz w:val="22"/>
              </w:rPr>
              <w:t>Programmes &amp; Festivals</w:t>
            </w:r>
            <w:r>
              <w:rPr>
                <w:sz w:val="22"/>
              </w:rPr>
              <w:t>: at least 6 other key project staff</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04"/>
              <w:jc w:val="both"/>
              <w:rPr>
                <w:sz w:val="22"/>
              </w:rPr>
            </w:pPr>
            <w:r>
              <w:rPr>
                <w:b/>
                <w:sz w:val="22"/>
              </w:rPr>
              <w:t>B3 </w:t>
            </w:r>
            <w:r>
              <w:rPr>
                <w:sz w:val="22"/>
              </w:rPr>
              <w:t>– At least half of all crew or project staff are a mix of under-represented groups, in a variety of departments and varying levels of seniority</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9" w:after="1"/>
        <w:rPr>
          <w:rFonts w:ascii="Times New Roman"/>
          <w:sz w:val="27"/>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1075" w:hRule="atLeast"/>
        </w:trPr>
        <w:tc>
          <w:tcPr>
            <w:tcW w:w="6915" w:type="dxa"/>
          </w:tcPr>
          <w:p>
            <w:pPr>
              <w:pStyle w:val="TableParagraph"/>
              <w:spacing w:line="254" w:lineRule="auto" w:before="1"/>
              <w:ind w:left="89" w:right="167"/>
              <w:rPr>
                <w:sz w:val="22"/>
              </w:rPr>
            </w:pPr>
            <w:r>
              <w:rPr>
                <w:b/>
                <w:sz w:val="22"/>
              </w:rPr>
              <w:t>B4 - </w:t>
            </w:r>
            <w:r>
              <w:rPr>
                <w:sz w:val="22"/>
              </w:rPr>
              <w:t>Productions located in the UK outside Greater London that demonstrate an intention to offer substantial local employment</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0"/>
        <w:rPr>
          <w:rFonts w:ascii="Times New Roman"/>
          <w:sz w:val="20"/>
        </w:rPr>
      </w:pPr>
    </w:p>
    <w:p>
      <w:pPr>
        <w:spacing w:line="240" w:lineRule="auto" w:before="0"/>
        <w:rPr>
          <w:rFonts w:ascii="Times New Roman"/>
          <w:sz w:val="20"/>
        </w:rPr>
      </w:pPr>
    </w:p>
    <w:p>
      <w:pPr>
        <w:spacing w:line="240" w:lineRule="auto" w:before="10" w:after="1"/>
        <w:rPr>
          <w:rFonts w:ascii="Times New Roman"/>
          <w:sz w:val="13"/>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2995" w:hRule="atLeast"/>
        </w:trPr>
        <w:tc>
          <w:tcPr>
            <w:tcW w:w="14850" w:type="dxa"/>
            <w:gridSpan w:val="4"/>
            <w:shd w:val="clear" w:color="auto" w:fill="FFFF99"/>
          </w:tcPr>
          <w:p>
            <w:pPr>
              <w:pStyle w:val="TableParagraph"/>
              <w:spacing w:before="6"/>
              <w:rPr>
                <w:rFonts w:ascii="Times New Roman"/>
                <w:sz w:val="23"/>
              </w:rPr>
            </w:pPr>
          </w:p>
          <w:p>
            <w:pPr>
              <w:pStyle w:val="TableParagraph"/>
              <w:ind w:left="89"/>
              <w:rPr>
                <w:b/>
                <w:sz w:val="22"/>
              </w:rPr>
            </w:pPr>
            <w:r>
              <w:rPr>
                <w:b/>
                <w:sz w:val="22"/>
                <w:u w:val="single"/>
              </w:rPr>
              <w:t>STANDARD C - INDUSTRY ACCESS &amp; OPPORTUNITIES</w:t>
            </w:r>
          </w:p>
          <w:p>
            <w:pPr>
              <w:pStyle w:val="TableParagraph"/>
              <w:spacing w:before="9"/>
              <w:rPr>
                <w:rFonts w:ascii="Times New Roman"/>
                <w:sz w:val="24"/>
              </w:rPr>
            </w:pPr>
          </w:p>
          <w:p>
            <w:pPr>
              <w:pStyle w:val="TableParagraph"/>
              <w:spacing w:line="268" w:lineRule="auto"/>
              <w:ind w:left="89" w:right="103"/>
              <w:jc w:val="both"/>
              <w:rPr>
                <w:sz w:val="22"/>
              </w:rPr>
            </w:pPr>
            <w:r>
              <w:rPr>
                <w:sz w:val="22"/>
              </w:rPr>
              <w:t>This is a required section for all funds apart from Completion Funding, and considers the value of the work experience and development opportunities offered. If possible, you should name the roles you would be looking to offer to trainees / apprentices, or name the individual who is going to progress to a more senior role.</w:t>
            </w:r>
          </w:p>
          <w:p>
            <w:pPr>
              <w:pStyle w:val="TableParagraph"/>
              <w:spacing w:before="10"/>
              <w:rPr>
                <w:rFonts w:ascii="Times New Roman"/>
                <w:sz w:val="21"/>
              </w:rPr>
            </w:pPr>
          </w:p>
          <w:p>
            <w:pPr>
              <w:pStyle w:val="TableParagraph"/>
              <w:ind w:left="89"/>
              <w:jc w:val="both"/>
              <w:rPr>
                <w:b/>
                <w:sz w:val="22"/>
              </w:rPr>
            </w:pPr>
            <w:r>
              <w:rPr>
                <w:b/>
                <w:sz w:val="22"/>
                <w:u w:val="single"/>
              </w:rPr>
              <w:t>At least 2 of the 5 areas need to be addressed to meet STANDARD C</w:t>
            </w:r>
          </w:p>
          <w:p>
            <w:pPr>
              <w:pStyle w:val="TableParagraph"/>
              <w:spacing w:before="8"/>
              <w:rPr>
                <w:rFonts w:ascii="Times New Roman"/>
                <w:sz w:val="24"/>
              </w:rPr>
            </w:pPr>
          </w:p>
          <w:p>
            <w:pPr>
              <w:pStyle w:val="TableParagraph"/>
              <w:spacing w:before="1"/>
              <w:ind w:left="89"/>
              <w:jc w:val="both"/>
              <w:rPr>
                <w:b/>
                <w:sz w:val="22"/>
              </w:rPr>
            </w:pPr>
            <w:r>
              <w:rPr>
                <w:b/>
                <w:sz w:val="22"/>
              </w:rPr>
              <w:t>Projects run by volunteers should refer to the notes at the end of this section.</w:t>
            </w:r>
          </w:p>
        </w:tc>
      </w:tr>
      <w:tr>
        <w:trPr>
          <w:trHeight w:val="385" w:hRule="atLeast"/>
        </w:trPr>
        <w:tc>
          <w:tcPr>
            <w:tcW w:w="6915" w:type="dxa"/>
          </w:tcPr>
          <w:p>
            <w:pPr>
              <w:pStyle w:val="TableParagraph"/>
              <w:rPr>
                <w:rFonts w:ascii="Times New Roman"/>
                <w:sz w:val="20"/>
              </w:rPr>
            </w:pPr>
          </w:p>
        </w:tc>
        <w:tc>
          <w:tcPr>
            <w:tcW w:w="5955" w:type="dxa"/>
          </w:tcPr>
          <w:p>
            <w:pPr>
              <w:pStyle w:val="TableParagraph"/>
              <w:spacing w:before="8"/>
              <w:ind w:left="2665" w:right="2677"/>
              <w:jc w:val="center"/>
              <w:rPr>
                <w:b/>
                <w:sz w:val="18"/>
              </w:rPr>
            </w:pPr>
            <w:r>
              <w:rPr>
                <w:b/>
                <w:sz w:val="18"/>
              </w:rPr>
              <w:t>NOTES</w:t>
            </w:r>
          </w:p>
        </w:tc>
        <w:tc>
          <w:tcPr>
            <w:tcW w:w="990" w:type="dxa"/>
          </w:tcPr>
          <w:p>
            <w:pPr>
              <w:pStyle w:val="TableParagraph"/>
              <w:spacing w:before="8"/>
              <w:ind w:left="314"/>
              <w:rPr>
                <w:b/>
                <w:sz w:val="18"/>
              </w:rPr>
            </w:pPr>
            <w:r>
              <w:rPr>
                <w:b/>
                <w:sz w:val="18"/>
              </w:rPr>
              <w:t>Y/N</w:t>
            </w:r>
          </w:p>
        </w:tc>
        <w:tc>
          <w:tcPr>
            <w:tcW w:w="990" w:type="dxa"/>
            <w:shd w:val="clear" w:color="auto" w:fill="F1F1F1"/>
          </w:tcPr>
          <w:p>
            <w:pPr>
              <w:pStyle w:val="TableParagraph"/>
              <w:spacing w:line="183" w:lineRule="exact"/>
              <w:ind w:left="85" w:right="96"/>
              <w:jc w:val="center"/>
              <w:rPr>
                <w:b/>
                <w:sz w:val="16"/>
              </w:rPr>
            </w:pPr>
            <w:r>
              <w:rPr>
                <w:b/>
                <w:sz w:val="16"/>
              </w:rPr>
              <w:t>Y/N</w:t>
            </w:r>
          </w:p>
          <w:p>
            <w:pPr>
              <w:pStyle w:val="TableParagraph"/>
              <w:spacing w:line="173" w:lineRule="exact" w:before="9"/>
              <w:ind w:left="85" w:right="109"/>
              <w:jc w:val="center"/>
              <w:rPr>
                <w:b/>
                <w:sz w:val="16"/>
              </w:rPr>
            </w:pPr>
            <w:r>
              <w:rPr>
                <w:b/>
                <w:sz w:val="16"/>
              </w:rPr>
              <w:t>INTERNAL</w:t>
            </w:r>
          </w:p>
        </w:tc>
      </w:tr>
      <w:tr>
        <w:trPr>
          <w:trHeight w:val="805" w:hRule="atLeast"/>
        </w:trPr>
        <w:tc>
          <w:tcPr>
            <w:tcW w:w="6915" w:type="dxa"/>
          </w:tcPr>
          <w:p>
            <w:pPr>
              <w:pStyle w:val="TableParagraph"/>
              <w:spacing w:line="254" w:lineRule="auto" w:before="1"/>
              <w:ind w:left="89" w:right="167"/>
              <w:rPr>
                <w:sz w:val="22"/>
              </w:rPr>
            </w:pPr>
            <w:r>
              <w:rPr>
                <w:b/>
                <w:sz w:val="22"/>
              </w:rPr>
              <w:t>C1 - </w:t>
            </w:r>
            <w:r>
              <w:rPr>
                <w:sz w:val="22"/>
              </w:rPr>
              <w:t>Paid employment opportunities (such as apprenticeships, internships, expert advisers)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C2 - </w:t>
            </w:r>
            <w:r>
              <w:rPr>
                <w:sz w:val="22"/>
              </w:rPr>
              <w:t>Training opportunities &amp; skills development (craft, creative &amp; business) including one-off, bespoke &amp; student work-experience opportunities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805" w:hRule="atLeast"/>
        </w:trPr>
        <w:tc>
          <w:tcPr>
            <w:tcW w:w="6915" w:type="dxa"/>
          </w:tcPr>
          <w:p>
            <w:pPr>
              <w:pStyle w:val="TableParagraph"/>
              <w:spacing w:line="254" w:lineRule="auto" w:before="1"/>
              <w:ind w:left="89" w:right="167"/>
              <w:rPr>
                <w:sz w:val="22"/>
              </w:rPr>
            </w:pPr>
            <w:r>
              <w:rPr>
                <w:b/>
                <w:sz w:val="22"/>
              </w:rPr>
              <w:t>C3 </w:t>
            </w:r>
            <w:r>
              <w:rPr>
                <w:sz w:val="22"/>
              </w:rPr>
              <w:t>- Promotion in a role that constitutes career progression for at least one crew/team member</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C4 – </w:t>
            </w:r>
            <w:r>
              <w:rPr>
                <w:sz w:val="22"/>
              </w:rPr>
              <w:t>‘First job’ in a role that constitutes career progression from prior training</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805" w:hRule="atLeast"/>
        </w:trPr>
        <w:tc>
          <w:tcPr>
            <w:tcW w:w="6915" w:type="dxa"/>
          </w:tcPr>
          <w:p>
            <w:pPr>
              <w:pStyle w:val="TableParagraph"/>
              <w:spacing w:before="1"/>
              <w:ind w:left="89"/>
              <w:rPr>
                <w:sz w:val="22"/>
              </w:rPr>
            </w:pPr>
            <w:r>
              <w:rPr>
                <w:b/>
                <w:sz w:val="22"/>
              </w:rPr>
              <w:t>C5 - </w:t>
            </w:r>
            <w:r>
              <w:rPr>
                <w:sz w:val="22"/>
              </w:rPr>
              <w:t>Meaningful, structured mentoring programmes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9" w:after="1"/>
        <w:rPr>
          <w:rFonts w:ascii="Times New Roman"/>
          <w:sz w:val="27"/>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1075" w:hRule="atLeast"/>
        </w:trPr>
        <w:tc>
          <w:tcPr>
            <w:tcW w:w="6915" w:type="dxa"/>
          </w:tcPr>
          <w:p>
            <w:pPr>
              <w:pStyle w:val="TableParagraph"/>
              <w:spacing w:line="254" w:lineRule="auto" w:before="1"/>
              <w:ind w:left="89" w:right="167"/>
              <w:rPr>
                <w:sz w:val="22"/>
              </w:rPr>
            </w:pPr>
            <w:r>
              <w:rPr>
                <w:b/>
                <w:sz w:val="22"/>
              </w:rPr>
              <w:t>Notes. </w:t>
            </w:r>
            <w:r>
              <w:rPr>
                <w:sz w:val="22"/>
              </w:rPr>
              <w:t>For projects run by volunteers please tell us how you will engage volunteers from one or more of the identified</w:t>
            </w:r>
          </w:p>
          <w:p>
            <w:pPr>
              <w:pStyle w:val="TableParagraph"/>
              <w:spacing w:line="254" w:lineRule="exact"/>
              <w:ind w:left="89"/>
              <w:rPr>
                <w:sz w:val="22"/>
              </w:rPr>
            </w:pPr>
            <w:r>
              <w:rPr>
                <w:sz w:val="22"/>
              </w:rPr>
              <w:t>under-represented groups.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0"/>
        <w:rPr>
          <w:rFonts w:ascii="Times New Roman"/>
          <w:sz w:val="20"/>
        </w:rPr>
      </w:pPr>
    </w:p>
    <w:p>
      <w:pPr>
        <w:spacing w:line="240" w:lineRule="auto" w:before="0"/>
        <w:rPr>
          <w:rFonts w:ascii="Times New Roman"/>
          <w:sz w:val="20"/>
        </w:rPr>
      </w:pPr>
    </w:p>
    <w:p>
      <w:pPr>
        <w:spacing w:line="240" w:lineRule="auto" w:before="10" w:after="1"/>
        <w:rPr>
          <w:rFonts w:ascii="Times New Roman"/>
          <w:sz w:val="13"/>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2620" w:hRule="atLeast"/>
        </w:trPr>
        <w:tc>
          <w:tcPr>
            <w:tcW w:w="14850" w:type="dxa"/>
            <w:gridSpan w:val="4"/>
            <w:shd w:val="clear" w:color="auto" w:fill="FFFF99"/>
          </w:tcPr>
          <w:p>
            <w:pPr>
              <w:pStyle w:val="TableParagraph"/>
              <w:spacing w:before="6"/>
              <w:rPr>
                <w:rFonts w:ascii="Times New Roman"/>
                <w:sz w:val="23"/>
              </w:rPr>
            </w:pPr>
          </w:p>
          <w:p>
            <w:pPr>
              <w:pStyle w:val="TableParagraph"/>
              <w:ind w:left="89"/>
              <w:rPr>
                <w:b/>
                <w:sz w:val="22"/>
              </w:rPr>
            </w:pPr>
            <w:r>
              <w:rPr>
                <w:b/>
                <w:sz w:val="22"/>
                <w:u w:val="single"/>
              </w:rPr>
              <w:t>STANDARD D - OPPORTUNITIES FOR DIVERSITY IN AUDIENCE DEVELOPMENT</w:t>
            </w:r>
          </w:p>
          <w:p>
            <w:pPr>
              <w:pStyle w:val="TableParagraph"/>
              <w:spacing w:before="9"/>
              <w:rPr>
                <w:rFonts w:ascii="Times New Roman"/>
                <w:sz w:val="24"/>
              </w:rPr>
            </w:pPr>
          </w:p>
          <w:p>
            <w:pPr>
              <w:pStyle w:val="TableParagraph"/>
              <w:spacing w:line="254" w:lineRule="auto"/>
              <w:ind w:left="89" w:right="109"/>
              <w:rPr>
                <w:sz w:val="22"/>
              </w:rPr>
            </w:pPr>
            <w:r>
              <w:rPr>
                <w:sz w:val="22"/>
              </w:rPr>
              <w:t>This is a required section for exhibitors, film festivals, distribution awards and other funded activities that benefit audiences. It is also an additional category for film productions that have a distributor attached. Considerations will include the nature of the programme or film, the audience it is aimed at and any intended long-term impact.</w:t>
            </w:r>
          </w:p>
          <w:p>
            <w:pPr>
              <w:pStyle w:val="TableParagraph"/>
              <w:spacing w:before="3"/>
              <w:rPr>
                <w:rFonts w:ascii="Times New Roman"/>
                <w:sz w:val="23"/>
              </w:rPr>
            </w:pPr>
          </w:p>
          <w:p>
            <w:pPr>
              <w:pStyle w:val="TableParagraph"/>
              <w:ind w:left="89"/>
              <w:rPr>
                <w:b/>
                <w:sz w:val="22"/>
              </w:rPr>
            </w:pPr>
            <w:r>
              <w:rPr>
                <w:b/>
                <w:sz w:val="22"/>
                <w:u w:val="single"/>
              </w:rPr>
              <w:t>At least 3 of the 5 areas need to be addressed to meet STANDARD D</w:t>
            </w:r>
          </w:p>
        </w:tc>
      </w:tr>
      <w:tr>
        <w:trPr>
          <w:trHeight w:val="385" w:hRule="atLeast"/>
        </w:trPr>
        <w:tc>
          <w:tcPr>
            <w:tcW w:w="6915" w:type="dxa"/>
          </w:tcPr>
          <w:p>
            <w:pPr>
              <w:pStyle w:val="TableParagraph"/>
              <w:rPr>
                <w:rFonts w:ascii="Times New Roman"/>
                <w:sz w:val="20"/>
              </w:rPr>
            </w:pPr>
          </w:p>
        </w:tc>
        <w:tc>
          <w:tcPr>
            <w:tcW w:w="5955" w:type="dxa"/>
          </w:tcPr>
          <w:p>
            <w:pPr>
              <w:pStyle w:val="TableParagraph"/>
              <w:spacing w:before="8"/>
              <w:ind w:left="2665" w:right="2677"/>
              <w:jc w:val="center"/>
              <w:rPr>
                <w:b/>
                <w:sz w:val="18"/>
              </w:rPr>
            </w:pPr>
            <w:r>
              <w:rPr>
                <w:b/>
                <w:sz w:val="18"/>
              </w:rPr>
              <w:t>NOTES</w:t>
            </w:r>
          </w:p>
        </w:tc>
        <w:tc>
          <w:tcPr>
            <w:tcW w:w="990" w:type="dxa"/>
          </w:tcPr>
          <w:p>
            <w:pPr>
              <w:pStyle w:val="TableParagraph"/>
              <w:spacing w:before="8"/>
              <w:ind w:left="314"/>
              <w:rPr>
                <w:b/>
                <w:sz w:val="18"/>
              </w:rPr>
            </w:pPr>
            <w:r>
              <w:rPr>
                <w:b/>
                <w:sz w:val="18"/>
              </w:rPr>
              <w:t>Y/N</w:t>
            </w:r>
          </w:p>
        </w:tc>
        <w:tc>
          <w:tcPr>
            <w:tcW w:w="990" w:type="dxa"/>
            <w:shd w:val="clear" w:color="auto" w:fill="F1F1F1"/>
          </w:tcPr>
          <w:p>
            <w:pPr>
              <w:pStyle w:val="TableParagraph"/>
              <w:spacing w:line="183" w:lineRule="exact"/>
              <w:ind w:left="85" w:right="96"/>
              <w:jc w:val="center"/>
              <w:rPr>
                <w:b/>
                <w:sz w:val="16"/>
              </w:rPr>
            </w:pPr>
            <w:r>
              <w:rPr>
                <w:b/>
                <w:sz w:val="16"/>
              </w:rPr>
              <w:t>Y/N</w:t>
            </w:r>
          </w:p>
          <w:p>
            <w:pPr>
              <w:pStyle w:val="TableParagraph"/>
              <w:spacing w:line="173" w:lineRule="exact" w:before="9"/>
              <w:ind w:left="85" w:right="109"/>
              <w:jc w:val="center"/>
              <w:rPr>
                <w:b/>
                <w:sz w:val="16"/>
              </w:rPr>
            </w:pPr>
            <w:r>
              <w:rPr>
                <w:b/>
                <w:sz w:val="16"/>
              </w:rPr>
              <w:t>INTERNAL</w:t>
            </w:r>
          </w:p>
        </w:tc>
      </w:tr>
      <w:tr>
        <w:trPr>
          <w:trHeight w:val="1345" w:hRule="atLeast"/>
        </w:trPr>
        <w:tc>
          <w:tcPr>
            <w:tcW w:w="6915" w:type="dxa"/>
          </w:tcPr>
          <w:p>
            <w:pPr>
              <w:pStyle w:val="TableParagraph"/>
              <w:spacing w:line="254" w:lineRule="auto" w:before="1"/>
              <w:ind w:left="89" w:right="167"/>
              <w:rPr>
                <w:sz w:val="22"/>
              </w:rPr>
            </w:pPr>
            <w:r>
              <w:rPr>
                <w:b/>
                <w:sz w:val="22"/>
              </w:rPr>
              <w:t>D1 - </w:t>
            </w:r>
            <w:r>
              <w:rPr>
                <w:sz w:val="22"/>
              </w:rPr>
              <w:t>Provision of disability materials &amp; access above and beyond statutory requirements which demonstrate a real commitment to making a venue, festival, event, release etc. accessible to as wide an audience as possible</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ight="167"/>
              <w:rPr>
                <w:sz w:val="22"/>
              </w:rPr>
            </w:pPr>
            <w:r>
              <w:rPr>
                <w:b/>
                <w:sz w:val="22"/>
              </w:rPr>
              <w:t>D2 - </w:t>
            </w:r>
            <w:r>
              <w:rPr>
                <w:sz w:val="22"/>
              </w:rPr>
              <w:t>A strategic focus on one or more under-served audience groups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075" w:hRule="atLeast"/>
        </w:trPr>
        <w:tc>
          <w:tcPr>
            <w:tcW w:w="6915" w:type="dxa"/>
          </w:tcPr>
          <w:p>
            <w:pPr>
              <w:pStyle w:val="TableParagraph"/>
              <w:spacing w:line="254" w:lineRule="auto" w:before="1"/>
              <w:ind w:left="89"/>
              <w:rPr>
                <w:sz w:val="22"/>
              </w:rPr>
            </w:pPr>
            <w:r>
              <w:rPr>
                <w:b/>
                <w:sz w:val="22"/>
              </w:rPr>
              <w:t>D3 – </w:t>
            </w:r>
            <w:r>
              <w:rPr>
                <w:sz w:val="22"/>
              </w:rPr>
              <w:t>Added value for audiences in a specific UK region or nation, or outside central London</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1345" w:hRule="atLeast"/>
        </w:trPr>
        <w:tc>
          <w:tcPr>
            <w:tcW w:w="6915" w:type="dxa"/>
          </w:tcPr>
          <w:p>
            <w:pPr>
              <w:pStyle w:val="TableParagraph"/>
              <w:spacing w:line="254" w:lineRule="auto" w:before="1"/>
              <w:ind w:left="89" w:right="167"/>
              <w:rPr>
                <w:sz w:val="22"/>
              </w:rPr>
            </w:pPr>
            <w:r>
              <w:rPr>
                <w:b/>
                <w:sz w:val="22"/>
              </w:rPr>
              <w:t>D4 – </w:t>
            </w:r>
            <w:r>
              <w:rPr>
                <w:sz w:val="22"/>
              </w:rPr>
              <w:t>Reaching new audiences through alternative distribution and marketing strategies (e.g. VOD, special events, targeted pricing strategies)</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r>
        <w:trPr>
          <w:trHeight w:val="535" w:hRule="atLeast"/>
        </w:trPr>
        <w:tc>
          <w:tcPr>
            <w:tcW w:w="6915" w:type="dxa"/>
          </w:tcPr>
          <w:p>
            <w:pPr>
              <w:pStyle w:val="TableParagraph"/>
              <w:spacing w:before="1"/>
              <w:ind w:left="89"/>
              <w:rPr>
                <w:sz w:val="22"/>
              </w:rPr>
            </w:pPr>
            <w:r>
              <w:rPr>
                <w:b/>
                <w:sz w:val="22"/>
              </w:rPr>
              <w:t>D5 - </w:t>
            </w:r>
            <w:r>
              <w:rPr>
                <w:sz w:val="22"/>
              </w:rPr>
              <w:t>Partnership opportunities to reach under-served audiences,</w:t>
            </w:r>
          </w:p>
          <w:p>
            <w:pPr>
              <w:pStyle w:val="TableParagraph"/>
              <w:spacing w:line="244" w:lineRule="exact" w:before="14"/>
              <w:ind w:left="89"/>
              <w:rPr>
                <w:sz w:val="22"/>
              </w:rPr>
            </w:pPr>
            <w:r>
              <w:rPr>
                <w:sz w:val="22"/>
              </w:rPr>
              <w:t>utilising specialist or expert knowledge</w:t>
            </w:r>
          </w:p>
        </w:tc>
        <w:tc>
          <w:tcPr>
            <w:tcW w:w="5955" w:type="dxa"/>
          </w:tcPr>
          <w:p>
            <w:pPr>
              <w:pStyle w:val="TableParagraph"/>
              <w:rPr>
                <w:rFonts w:ascii="Times New Roman"/>
                <w:sz w:val="20"/>
              </w:rPr>
            </w:pPr>
          </w:p>
        </w:tc>
        <w:tc>
          <w:tcPr>
            <w:tcW w:w="990" w:type="dxa"/>
          </w:tcPr>
          <w:p>
            <w:pPr>
              <w:pStyle w:val="TableParagraph"/>
              <w:rPr>
                <w:rFonts w:ascii="Times New Roman"/>
                <w:sz w:val="20"/>
              </w:rPr>
            </w:pPr>
          </w:p>
        </w:tc>
        <w:tc>
          <w:tcPr>
            <w:tcW w:w="990" w:type="dxa"/>
            <w:shd w:val="clear" w:color="auto" w:fill="F1F1F1"/>
          </w:tcPr>
          <w:p>
            <w:pPr>
              <w:pStyle w:val="TableParagraph"/>
              <w:rPr>
                <w:rFonts w:ascii="Times New Roman"/>
                <w:sz w:val="20"/>
              </w:rPr>
            </w:pPr>
          </w:p>
        </w:tc>
      </w:tr>
    </w:tbl>
    <w:p>
      <w:pPr>
        <w:spacing w:after="0"/>
        <w:rPr>
          <w:rFonts w:ascii="Times New Roman"/>
          <w:sz w:val="20"/>
        </w:rPr>
        <w:sectPr>
          <w:pgSz w:w="16860" w:h="11920" w:orient="landscape"/>
          <w:pgMar w:top="1120" w:bottom="280" w:left="920" w:right="840"/>
        </w:sectPr>
      </w:pPr>
    </w:p>
    <w:p>
      <w:pPr>
        <w:spacing w:line="240" w:lineRule="auto" w:before="9" w:after="1"/>
        <w:rPr>
          <w:rFonts w:ascii="Times New Roman"/>
          <w:sz w:val="27"/>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5955"/>
        <w:gridCol w:w="990"/>
        <w:gridCol w:w="990"/>
      </w:tblGrid>
      <w:tr>
        <w:trPr>
          <w:trHeight w:val="535" w:hRule="atLeast"/>
        </w:trPr>
        <w:tc>
          <w:tcPr>
            <w:tcW w:w="6915" w:type="dxa"/>
          </w:tcPr>
          <w:p>
            <w:pPr>
              <w:pStyle w:val="TableParagraph"/>
              <w:rPr>
                <w:rFonts w:ascii="Times New Roman"/>
                <w:sz w:val="2"/>
              </w:rPr>
            </w:pPr>
          </w:p>
        </w:tc>
        <w:tc>
          <w:tcPr>
            <w:tcW w:w="5955" w:type="dxa"/>
          </w:tcPr>
          <w:p>
            <w:pPr>
              <w:pStyle w:val="TableParagraph"/>
              <w:rPr>
                <w:rFonts w:ascii="Times New Roman"/>
                <w:sz w:val="2"/>
              </w:rPr>
            </w:pPr>
          </w:p>
        </w:tc>
        <w:tc>
          <w:tcPr>
            <w:tcW w:w="990" w:type="dxa"/>
          </w:tcPr>
          <w:p>
            <w:pPr>
              <w:pStyle w:val="TableParagraph"/>
              <w:rPr>
                <w:rFonts w:ascii="Times New Roman"/>
                <w:sz w:val="2"/>
              </w:rPr>
            </w:pPr>
          </w:p>
        </w:tc>
        <w:tc>
          <w:tcPr>
            <w:tcW w:w="990" w:type="dxa"/>
            <w:shd w:val="clear" w:color="auto" w:fill="F1F1F1"/>
          </w:tcPr>
          <w:p>
            <w:pPr>
              <w:pStyle w:val="TableParagraph"/>
              <w:rPr>
                <w:rFonts w:ascii="Times New Roman"/>
                <w:sz w:val="2"/>
              </w:rPr>
            </w:pPr>
          </w:p>
        </w:tc>
      </w:tr>
    </w:tbl>
    <w:sectPr>
      <w:pgSz w:w="16860" w:h="11920" w:orient="landscape"/>
      <w:pgMar w:top="1120" w:bottom="280" w:left="9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2019-02-13T22:33:27Z</dcterms:created>
  <dcterms:modified xsi:type="dcterms:W3CDTF">2019-02-13T22:33:27Z</dcterms:modified>
</cp:coreProperties>
</file>